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1"/>
        <w:ind w:left="155" w:right="0"/>
        <w:jc w:val="left"/>
      </w:pPr>
      <w:r>
        <w:rPr>
          <w:u w:val="single"/>
        </w:rPr>
        <w:t>2310700000</w:t>
      </w:r>
    </w:p>
    <w:p>
      <w:pPr>
        <w:pStyle w:val="BodyText"/>
        <w:spacing w:before="21"/>
        <w:ind w:left="151"/>
      </w:pPr>
      <w:r>
        <w:rPr>
          <w:spacing w:val="-1"/>
        </w:rPr>
        <w:t>(код</w:t>
      </w:r>
      <w:r>
        <w:rPr>
          <w:spacing w:val="-5"/>
        </w:rPr>
        <w:t> </w:t>
      </w:r>
      <w:r>
        <w:rPr>
          <w:spacing w:val="-1"/>
        </w:rPr>
        <w:t>бюджету)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</w:pPr>
      <w:r>
        <w:rPr/>
        <w:t>ФІНАНСУВАННЯ</w:t>
      </w:r>
    </w:p>
    <w:p>
      <w:pPr>
        <w:spacing w:before="31"/>
        <w:ind w:left="140" w:right="29" w:firstLine="0"/>
        <w:jc w:val="center"/>
        <w:rPr>
          <w:b/>
          <w:sz w:val="17"/>
        </w:rPr>
      </w:pPr>
      <w:r>
        <w:rPr>
          <w:b/>
          <w:sz w:val="17"/>
        </w:rPr>
        <w:t>місцевого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бюджету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на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2020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рік</w:t>
      </w:r>
    </w:p>
    <w:p>
      <w:pPr>
        <w:pStyle w:val="BodyText"/>
        <w:spacing w:line="167" w:lineRule="exact" w:before="78"/>
        <w:ind w:left="151"/>
      </w:pPr>
      <w:r>
        <w:rPr/>
        <w:br w:type="column"/>
      </w:r>
      <w:r>
        <w:rPr>
          <w:spacing w:val="-1"/>
        </w:rPr>
        <w:t>Додаток</w:t>
      </w:r>
      <w:r>
        <w:rPr>
          <w:spacing w:val="-3"/>
        </w:rPr>
        <w:t> </w:t>
      </w:r>
      <w:r>
        <w:rPr/>
        <w:t>2</w:t>
      </w:r>
    </w:p>
    <w:p>
      <w:pPr>
        <w:tabs>
          <w:tab w:pos="817" w:val="left" w:leader="none"/>
          <w:tab w:pos="1117" w:val="left" w:leader="none"/>
          <w:tab w:pos="2245" w:val="left" w:leader="none"/>
          <w:tab w:pos="2710" w:val="left" w:leader="none"/>
        </w:tabs>
        <w:spacing w:line="276" w:lineRule="auto" w:before="0"/>
        <w:ind w:left="151" w:right="168" w:firstLine="0"/>
        <w:jc w:val="left"/>
        <w:rPr>
          <w:sz w:val="12"/>
        </w:rPr>
      </w:pPr>
      <w:r>
        <w:rPr>
          <w:w w:val="105"/>
          <w:sz w:val="12"/>
        </w:rPr>
        <w:t>до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рішення</w:t>
      </w:r>
      <w:r>
        <w:rPr>
          <w:w w:val="105"/>
          <w:sz w:val="12"/>
          <w:u w:val="single"/>
        </w:rPr>
        <w:tab/>
        <w:tab/>
      </w:r>
      <w:r>
        <w:rPr>
          <w:spacing w:val="-1"/>
          <w:w w:val="105"/>
          <w:sz w:val="12"/>
        </w:rPr>
        <w:t>сесії</w:t>
      </w:r>
      <w:r>
        <w:rPr>
          <w:w w:val="105"/>
          <w:sz w:val="12"/>
        </w:rPr>
        <w:t> </w:t>
      </w:r>
      <w:r>
        <w:rPr>
          <w:spacing w:val="-1"/>
          <w:w w:val="105"/>
          <w:sz w:val="12"/>
        </w:rPr>
        <w:t>Мелітопольської міської ради </w:t>
      </w:r>
      <w:r>
        <w:rPr>
          <w:w w:val="105"/>
          <w:sz w:val="12"/>
        </w:rPr>
        <w:t>Запорізької</w:t>
      </w:r>
      <w:r>
        <w:rPr>
          <w:spacing w:val="-29"/>
          <w:w w:val="105"/>
          <w:sz w:val="12"/>
        </w:rPr>
        <w:t> </w:t>
      </w:r>
      <w:r>
        <w:rPr>
          <w:w w:val="105"/>
          <w:sz w:val="12"/>
        </w:rPr>
        <w:t>області</w:t>
      </w:r>
      <w:r>
        <w:rPr>
          <w:w w:val="105"/>
          <w:sz w:val="12"/>
          <w:u w:val="single"/>
        </w:rPr>
        <w:tab/>
      </w:r>
      <w:r>
        <w:rPr>
          <w:w w:val="105"/>
          <w:sz w:val="12"/>
        </w:rPr>
        <w:t>скликання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від</w:t>
      </w:r>
      <w:r>
        <w:rPr>
          <w:w w:val="105"/>
          <w:sz w:val="12"/>
          <w:u w:val="single"/>
        </w:rPr>
        <w:tab/>
      </w:r>
      <w:r>
        <w:rPr>
          <w:w w:val="105"/>
          <w:sz w:val="12"/>
        </w:rPr>
        <w:t>№</w:t>
      </w:r>
      <w:r>
        <w:rPr>
          <w:w w:val="105"/>
          <w:sz w:val="12"/>
          <w:u w:val="single"/>
        </w:rPr>
        <w:t> </w:t>
      </w:r>
      <w:r>
        <w:rPr>
          <w:sz w:val="12"/>
          <w:u w:val="single"/>
        </w:rPr>
        <w:tab/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123"/>
        <w:ind w:left="0" w:right="149" w:firstLine="0"/>
        <w:jc w:val="right"/>
        <w:rPr>
          <w:sz w:val="16"/>
        </w:rPr>
      </w:pPr>
      <w:r>
        <w:rPr>
          <w:sz w:val="16"/>
        </w:rPr>
        <w:t>(грн)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020" w:bottom="280" w:left="900" w:right="620"/>
          <w:cols w:num="3" w:equalWidth="0">
            <w:col w:w="1119" w:space="2911"/>
            <w:col w:w="2571" w:space="304"/>
            <w:col w:w="3815"/>
          </w:cols>
        </w:sectPr>
      </w:pPr>
    </w:p>
    <w:tbl>
      <w:tblPr>
        <w:tblW w:w="0" w:type="auto"/>
        <w:jc w:val="left"/>
        <w:tblInd w:w="12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4902"/>
        <w:gridCol w:w="1156"/>
        <w:gridCol w:w="1123"/>
        <w:gridCol w:w="1200"/>
        <w:gridCol w:w="1248"/>
      </w:tblGrid>
      <w:tr>
        <w:trPr>
          <w:trHeight w:val="177" w:hRule="atLeast"/>
        </w:trPr>
        <w:tc>
          <w:tcPr>
            <w:tcW w:w="845" w:type="dxa"/>
            <w:vMerge w:val="restart"/>
          </w:tcPr>
          <w:p>
            <w:pPr>
              <w:pStyle w:val="TableParagraph"/>
              <w:spacing w:line="240" w:lineRule="auto" w:before="9"/>
              <w:ind w:lef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154" w:right="143"/>
              <w:rPr>
                <w:b/>
                <w:sz w:val="15"/>
              </w:rPr>
            </w:pPr>
            <w:r>
              <w:rPr>
                <w:b/>
                <w:sz w:val="15"/>
              </w:rPr>
              <w:t>Код</w:t>
            </w:r>
          </w:p>
        </w:tc>
        <w:tc>
          <w:tcPr>
            <w:tcW w:w="4902" w:type="dxa"/>
            <w:vMerge w:val="restart"/>
          </w:tcPr>
          <w:p>
            <w:pPr>
              <w:pStyle w:val="TableParagraph"/>
              <w:spacing w:line="240" w:lineRule="auto" w:before="9"/>
              <w:ind w:lef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355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Найменування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pacing w:val="-1"/>
                <w:sz w:val="15"/>
              </w:rPr>
              <w:t>згідно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spacing w:val="-1"/>
                <w:sz w:val="15"/>
              </w:rPr>
              <w:t>з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spacing w:val="-1"/>
                <w:sz w:val="15"/>
              </w:rPr>
              <w:t>Класифікацією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pacing w:val="-1"/>
                <w:sz w:val="15"/>
              </w:rPr>
              <w:t>фінансування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бюджету</w:t>
            </w:r>
          </w:p>
        </w:tc>
        <w:tc>
          <w:tcPr>
            <w:tcW w:w="1156" w:type="dxa"/>
            <w:vMerge w:val="restart"/>
          </w:tcPr>
          <w:p>
            <w:pPr>
              <w:pStyle w:val="TableParagraph"/>
              <w:spacing w:line="240" w:lineRule="auto" w:before="9"/>
              <w:ind w:lef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34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Усього</w:t>
            </w:r>
          </w:p>
        </w:tc>
        <w:tc>
          <w:tcPr>
            <w:tcW w:w="1123" w:type="dxa"/>
            <w:vMerge w:val="restart"/>
          </w:tcPr>
          <w:p>
            <w:pPr>
              <w:pStyle w:val="TableParagraph"/>
              <w:spacing w:line="261" w:lineRule="auto" w:before="56"/>
              <w:ind w:left="396" w:right="177" w:hanging="183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Загальний</w:t>
            </w:r>
            <w:r>
              <w:rPr>
                <w:b/>
                <w:spacing w:val="-35"/>
                <w:sz w:val="15"/>
              </w:rPr>
              <w:t> </w:t>
            </w:r>
            <w:r>
              <w:rPr>
                <w:b/>
                <w:sz w:val="15"/>
              </w:rPr>
              <w:t>фонд</w:t>
            </w:r>
          </w:p>
        </w:tc>
        <w:tc>
          <w:tcPr>
            <w:tcW w:w="2448" w:type="dxa"/>
            <w:gridSpan w:val="2"/>
          </w:tcPr>
          <w:p>
            <w:pPr>
              <w:pStyle w:val="TableParagraph"/>
              <w:spacing w:line="157" w:lineRule="exact"/>
              <w:ind w:left="603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Спеціальний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фонд</w:t>
            </w:r>
          </w:p>
        </w:tc>
      </w:tr>
      <w:tr>
        <w:trPr>
          <w:trHeight w:val="292" w:hRule="atLeast"/>
        </w:trPr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40" w:lineRule="auto" w:before="66"/>
              <w:ind w:left="3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усього</w:t>
            </w:r>
          </w:p>
        </w:tc>
        <w:tc>
          <w:tcPr>
            <w:tcW w:w="1248" w:type="dxa"/>
          </w:tcPr>
          <w:p>
            <w:pPr>
              <w:pStyle w:val="TableParagraph"/>
              <w:spacing w:line="240" w:lineRule="auto" w:before="7"/>
              <w:ind w:left="27" w:right="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у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тому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числі</w:t>
            </w:r>
            <w:r>
              <w:rPr>
                <w:b/>
                <w:spacing w:val="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бюджет</w:t>
            </w:r>
          </w:p>
          <w:p>
            <w:pPr>
              <w:pStyle w:val="TableParagraph"/>
              <w:spacing w:line="106" w:lineRule="exact" w:before="21"/>
              <w:ind w:left="27" w:right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розвитку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25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4902" w:type="dxa"/>
          </w:tcPr>
          <w:p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115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1200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1248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</w:tr>
      <w:tr>
        <w:trPr>
          <w:trHeight w:val="321" w:hRule="atLeast"/>
        </w:trPr>
        <w:tc>
          <w:tcPr>
            <w:tcW w:w="10474" w:type="dxa"/>
            <w:gridSpan w:val="6"/>
          </w:tcPr>
          <w:p>
            <w:pPr>
              <w:pStyle w:val="TableParagraph"/>
              <w:spacing w:line="240" w:lineRule="auto" w:before="6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Фінансування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z w:val="16"/>
              </w:rPr>
              <w:t>типом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кредитора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200000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Внутрішнє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фінансування</w:t>
            </w:r>
          </w:p>
        </w:tc>
        <w:tc>
          <w:tcPr>
            <w:tcW w:w="1156" w:type="dxa"/>
          </w:tcPr>
          <w:p>
            <w:pPr>
              <w:pStyle w:val="TableParagraph"/>
              <w:ind w:right="155"/>
              <w:rPr>
                <w:sz w:val="16"/>
              </w:rPr>
            </w:pPr>
            <w:r>
              <w:rPr>
                <w:sz w:val="16"/>
              </w:rPr>
              <w:t>69.464.515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-93.462.492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186"/>
              <w:jc w:val="right"/>
              <w:rPr>
                <w:sz w:val="16"/>
              </w:rPr>
            </w:pPr>
            <w:r>
              <w:rPr>
                <w:sz w:val="16"/>
              </w:rPr>
              <w:t>162.927.007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162.807.007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202000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Фінансування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рахунок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позик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банківських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установ</w:t>
            </w:r>
          </w:p>
        </w:tc>
        <w:tc>
          <w:tcPr>
            <w:tcW w:w="1156" w:type="dxa"/>
          </w:tcPr>
          <w:p>
            <w:pPr>
              <w:pStyle w:val="TableParagraph"/>
              <w:ind w:right="155"/>
              <w:rPr>
                <w:sz w:val="16"/>
              </w:rPr>
            </w:pPr>
            <w:r>
              <w:rPr>
                <w:sz w:val="16"/>
              </w:rPr>
              <w:t>28.259.915</w:t>
            </w:r>
          </w:p>
        </w:tc>
        <w:tc>
          <w:tcPr>
            <w:tcW w:w="1123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28.259.915</w:t>
            </w:r>
          </w:p>
        </w:tc>
        <w:tc>
          <w:tcPr>
            <w:tcW w:w="1248" w:type="dxa"/>
          </w:tcPr>
          <w:p>
            <w:pPr>
              <w:pStyle w:val="TableParagraph"/>
              <w:ind w:left="19" w:right="3"/>
              <w:rPr>
                <w:sz w:val="16"/>
              </w:rPr>
            </w:pPr>
            <w:r>
              <w:rPr>
                <w:sz w:val="16"/>
              </w:rPr>
              <w:t>28.259.915</w:t>
            </w:r>
          </w:p>
        </w:tc>
      </w:tr>
      <w:tr>
        <w:trPr>
          <w:trHeight w:val="187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202200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Фінансування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рахунок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інших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банків</w:t>
            </w:r>
          </w:p>
        </w:tc>
        <w:tc>
          <w:tcPr>
            <w:tcW w:w="1156" w:type="dxa"/>
          </w:tcPr>
          <w:p>
            <w:pPr>
              <w:pStyle w:val="TableParagraph"/>
              <w:ind w:right="155"/>
              <w:rPr>
                <w:sz w:val="16"/>
              </w:rPr>
            </w:pPr>
            <w:r>
              <w:rPr>
                <w:sz w:val="16"/>
              </w:rPr>
              <w:t>28.259.915</w:t>
            </w:r>
          </w:p>
        </w:tc>
        <w:tc>
          <w:tcPr>
            <w:tcW w:w="1123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28.259.915</w:t>
            </w:r>
          </w:p>
        </w:tc>
        <w:tc>
          <w:tcPr>
            <w:tcW w:w="1248" w:type="dxa"/>
          </w:tcPr>
          <w:p>
            <w:pPr>
              <w:pStyle w:val="TableParagraph"/>
              <w:ind w:left="19" w:right="3"/>
              <w:rPr>
                <w:sz w:val="16"/>
              </w:rPr>
            </w:pPr>
            <w:r>
              <w:rPr>
                <w:sz w:val="16"/>
              </w:rPr>
              <w:t>28.259.915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202210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Одержано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позик</w:t>
            </w:r>
          </w:p>
        </w:tc>
        <w:tc>
          <w:tcPr>
            <w:tcW w:w="1156" w:type="dxa"/>
          </w:tcPr>
          <w:p>
            <w:pPr>
              <w:pStyle w:val="TableParagraph"/>
              <w:ind w:right="155"/>
              <w:rPr>
                <w:sz w:val="16"/>
              </w:rPr>
            </w:pPr>
            <w:r>
              <w:rPr>
                <w:sz w:val="16"/>
              </w:rPr>
              <w:t>51.841.110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229"/>
              <w:jc w:val="right"/>
              <w:rPr>
                <w:sz w:val="16"/>
              </w:rPr>
            </w:pPr>
            <w:r>
              <w:rPr>
                <w:sz w:val="16"/>
              </w:rPr>
              <w:t>51.841.110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51.841.110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202220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Погашено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позик</w:t>
            </w:r>
          </w:p>
        </w:tc>
        <w:tc>
          <w:tcPr>
            <w:tcW w:w="1156" w:type="dxa"/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sz w:val="16"/>
              </w:rPr>
              <w:t>-23.581.195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200"/>
              <w:jc w:val="right"/>
              <w:rPr>
                <w:sz w:val="16"/>
              </w:rPr>
            </w:pPr>
            <w:r>
              <w:rPr>
                <w:sz w:val="16"/>
              </w:rPr>
              <w:t>-23.581.195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-23.581.195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208000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Фінансування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рахунок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зміни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залишків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коштів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бюджетів</w:t>
            </w:r>
          </w:p>
        </w:tc>
        <w:tc>
          <w:tcPr>
            <w:tcW w:w="1156" w:type="dxa"/>
          </w:tcPr>
          <w:p>
            <w:pPr>
              <w:pStyle w:val="TableParagraph"/>
              <w:ind w:right="155"/>
              <w:rPr>
                <w:sz w:val="16"/>
              </w:rPr>
            </w:pPr>
            <w:r>
              <w:rPr>
                <w:sz w:val="16"/>
              </w:rPr>
              <w:t>41.204.600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177"/>
              <w:jc w:val="right"/>
              <w:rPr>
                <w:sz w:val="16"/>
              </w:rPr>
            </w:pPr>
            <w:r>
              <w:rPr>
                <w:sz w:val="16"/>
              </w:rPr>
              <w:t>36.255.600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4.949.000</w:t>
            </w:r>
          </w:p>
        </w:tc>
        <w:tc>
          <w:tcPr>
            <w:tcW w:w="1248" w:type="dxa"/>
          </w:tcPr>
          <w:p>
            <w:pPr>
              <w:pStyle w:val="TableParagraph"/>
              <w:ind w:left="24" w:right="3"/>
              <w:rPr>
                <w:sz w:val="16"/>
              </w:rPr>
            </w:pPr>
            <w:r>
              <w:rPr>
                <w:sz w:val="16"/>
              </w:rPr>
              <w:t>4.829.000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208100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початок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періоду</w:t>
            </w:r>
          </w:p>
        </w:tc>
        <w:tc>
          <w:tcPr>
            <w:tcW w:w="1156" w:type="dxa"/>
          </w:tcPr>
          <w:p>
            <w:pPr>
              <w:pStyle w:val="TableParagraph"/>
              <w:ind w:right="155"/>
              <w:rPr>
                <w:sz w:val="16"/>
              </w:rPr>
            </w:pPr>
            <w:r>
              <w:rPr>
                <w:sz w:val="16"/>
              </w:rPr>
              <w:t>45.924.826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191"/>
              <w:jc w:val="right"/>
              <w:rPr>
                <w:sz w:val="16"/>
              </w:rPr>
            </w:pPr>
            <w:r>
              <w:rPr>
                <w:sz w:val="16"/>
              </w:rPr>
              <w:t>40.446.743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268"/>
              <w:jc w:val="right"/>
              <w:rPr>
                <w:sz w:val="16"/>
              </w:rPr>
            </w:pPr>
            <w:r>
              <w:rPr>
                <w:sz w:val="16"/>
              </w:rPr>
              <w:t>5.478.083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4.829.070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208200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кінець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періоду</w:t>
            </w:r>
          </w:p>
        </w:tc>
        <w:tc>
          <w:tcPr>
            <w:tcW w:w="1156" w:type="dxa"/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sz w:val="16"/>
              </w:rPr>
              <w:t>4.720.226</w:t>
            </w:r>
          </w:p>
        </w:tc>
        <w:tc>
          <w:tcPr>
            <w:tcW w:w="1123" w:type="dxa"/>
          </w:tcPr>
          <w:p>
            <w:pPr>
              <w:pStyle w:val="TableParagraph"/>
              <w:ind w:left="222"/>
              <w:jc w:val="left"/>
              <w:rPr>
                <w:sz w:val="16"/>
              </w:rPr>
            </w:pPr>
            <w:r>
              <w:rPr>
                <w:sz w:val="16"/>
              </w:rPr>
              <w:t>4.191.143</w:t>
            </w:r>
          </w:p>
        </w:tc>
        <w:tc>
          <w:tcPr>
            <w:tcW w:w="1200" w:type="dxa"/>
          </w:tcPr>
          <w:p>
            <w:pPr>
              <w:pStyle w:val="TableParagraph"/>
              <w:ind w:left="324"/>
              <w:jc w:val="left"/>
              <w:rPr>
                <w:sz w:val="16"/>
              </w:rPr>
            </w:pPr>
            <w:r>
              <w:rPr>
                <w:sz w:val="16"/>
              </w:rPr>
              <w:t>529.083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>
        <w:trPr>
          <w:trHeight w:val="383" w:hRule="atLeast"/>
        </w:trPr>
        <w:tc>
          <w:tcPr>
            <w:tcW w:w="845" w:type="dxa"/>
          </w:tcPr>
          <w:p>
            <w:pPr>
              <w:pStyle w:val="TableParagraph"/>
              <w:spacing w:line="240" w:lineRule="auto" w:before="100"/>
              <w:ind w:right="143"/>
              <w:rPr>
                <w:sz w:val="16"/>
              </w:rPr>
            </w:pPr>
            <w:r>
              <w:rPr>
                <w:sz w:val="16"/>
              </w:rPr>
              <w:t>208400</w:t>
            </w:r>
          </w:p>
        </w:tc>
        <w:tc>
          <w:tcPr>
            <w:tcW w:w="490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Кошти,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що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передаються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із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загального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фонду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бюджету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бюджету</w:t>
            </w:r>
          </w:p>
          <w:p>
            <w:pPr>
              <w:pStyle w:val="TableParagraph"/>
              <w:spacing w:line="168" w:lineRule="exact" w:before="1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розвитку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(спеціального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фонду)</w:t>
            </w:r>
          </w:p>
        </w:tc>
        <w:tc>
          <w:tcPr>
            <w:tcW w:w="1156" w:type="dxa"/>
          </w:tcPr>
          <w:p>
            <w:pPr>
              <w:pStyle w:val="TableParagraph"/>
              <w:spacing w:line="240" w:lineRule="auto" w:before="100"/>
              <w:ind w:left="13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123" w:type="dxa"/>
          </w:tcPr>
          <w:p>
            <w:pPr>
              <w:pStyle w:val="TableParagraph"/>
              <w:spacing w:line="240" w:lineRule="auto" w:before="100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-129.718.092</w:t>
            </w:r>
          </w:p>
        </w:tc>
        <w:tc>
          <w:tcPr>
            <w:tcW w:w="1200" w:type="dxa"/>
          </w:tcPr>
          <w:p>
            <w:pPr>
              <w:pStyle w:val="TableParagraph"/>
              <w:spacing w:line="240" w:lineRule="auto" w:before="100"/>
              <w:ind w:left="0" w:right="186"/>
              <w:jc w:val="right"/>
              <w:rPr>
                <w:sz w:val="16"/>
              </w:rPr>
            </w:pPr>
            <w:r>
              <w:rPr>
                <w:sz w:val="16"/>
              </w:rPr>
              <w:t>129.718.092</w:t>
            </w:r>
          </w:p>
        </w:tc>
        <w:tc>
          <w:tcPr>
            <w:tcW w:w="1248" w:type="dxa"/>
          </w:tcPr>
          <w:p>
            <w:pPr>
              <w:pStyle w:val="TableParagraph"/>
              <w:spacing w:line="240" w:lineRule="auto" w:before="100"/>
              <w:ind w:left="27" w:right="32"/>
              <w:rPr>
                <w:sz w:val="16"/>
              </w:rPr>
            </w:pPr>
            <w:r>
              <w:rPr>
                <w:sz w:val="16"/>
              </w:rPr>
              <w:t>129.718.092</w:t>
            </w:r>
          </w:p>
        </w:tc>
      </w:tr>
      <w:tr>
        <w:trPr>
          <w:trHeight w:val="187" w:hRule="atLeast"/>
        </w:trPr>
        <w:tc>
          <w:tcPr>
            <w:tcW w:w="845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300000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Зовнішнє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фінансування</w:t>
            </w:r>
          </w:p>
        </w:tc>
        <w:tc>
          <w:tcPr>
            <w:tcW w:w="115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55"/>
              <w:rPr>
                <w:sz w:val="16"/>
              </w:rPr>
            </w:pPr>
            <w:r>
              <w:rPr>
                <w:sz w:val="16"/>
              </w:rPr>
              <w:t>13.950.000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229"/>
              <w:jc w:val="right"/>
              <w:rPr>
                <w:sz w:val="16"/>
              </w:rPr>
            </w:pPr>
            <w:r>
              <w:rPr>
                <w:sz w:val="16"/>
              </w:rPr>
              <w:t>13.950.000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13.950.000</w:t>
            </w:r>
          </w:p>
        </w:tc>
      </w:tr>
      <w:tr>
        <w:trPr>
          <w:trHeight w:val="186" w:hRule="atLeast"/>
        </w:trPr>
        <w:tc>
          <w:tcPr>
            <w:tcW w:w="845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301000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Позики,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надані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міжнародними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фінансовими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організаціями</w:t>
            </w:r>
          </w:p>
        </w:tc>
        <w:tc>
          <w:tcPr>
            <w:tcW w:w="115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55"/>
              <w:rPr>
                <w:sz w:val="16"/>
              </w:rPr>
            </w:pPr>
            <w:r>
              <w:rPr>
                <w:sz w:val="16"/>
              </w:rPr>
              <w:t>13.950.000</w:t>
            </w:r>
          </w:p>
        </w:tc>
        <w:tc>
          <w:tcPr>
            <w:tcW w:w="1123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13.950.000</w:t>
            </w:r>
          </w:p>
        </w:tc>
        <w:tc>
          <w:tcPr>
            <w:tcW w:w="1248" w:type="dxa"/>
          </w:tcPr>
          <w:p>
            <w:pPr>
              <w:pStyle w:val="TableParagraph"/>
              <w:ind w:left="19" w:right="3"/>
              <w:rPr>
                <w:sz w:val="16"/>
              </w:rPr>
            </w:pPr>
            <w:r>
              <w:rPr>
                <w:sz w:val="16"/>
              </w:rPr>
              <w:t>13.950.000</w:t>
            </w:r>
          </w:p>
        </w:tc>
      </w:tr>
      <w:tr>
        <w:trPr>
          <w:trHeight w:val="186" w:hRule="atLeast"/>
        </w:trPr>
        <w:tc>
          <w:tcPr>
            <w:tcW w:w="845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Одержано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позик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55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229"/>
              <w:jc w:val="right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</w:tr>
      <w:tr>
        <w:trPr>
          <w:trHeight w:val="186" w:hRule="atLeast"/>
        </w:trPr>
        <w:tc>
          <w:tcPr>
            <w:tcW w:w="845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301200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Погашено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позик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4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  <w:tc>
          <w:tcPr>
            <w:tcW w:w="112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25"/>
              <w:rPr>
                <w:sz w:val="16"/>
              </w:rPr>
            </w:pPr>
            <w:r>
              <w:rPr>
                <w:w w:val="102"/>
                <w:sz w:val="16"/>
              </w:rPr>
              <w:t>х</w:t>
            </w:r>
          </w:p>
        </w:tc>
        <w:tc>
          <w:tcPr>
            <w:tcW w:w="4902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Загальне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фінансування</w:t>
            </w:r>
          </w:p>
        </w:tc>
        <w:tc>
          <w:tcPr>
            <w:tcW w:w="1156" w:type="dxa"/>
            <w:tcBorders>
              <w:top w:val="single" w:sz="4" w:space="0" w:color="000000"/>
            </w:tcBorders>
          </w:tcPr>
          <w:p>
            <w:pPr>
              <w:pStyle w:val="TableParagraph"/>
              <w:ind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83.414.515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1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-93.462.492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1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176.877.007</w:t>
            </w:r>
          </w:p>
        </w:tc>
        <w:tc>
          <w:tcPr>
            <w:tcW w:w="1248" w:type="dxa"/>
          </w:tcPr>
          <w:p>
            <w:pPr>
              <w:pStyle w:val="TableParagraph"/>
              <w:ind w:left="24"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176.757.007</w:t>
            </w:r>
          </w:p>
        </w:tc>
      </w:tr>
      <w:tr>
        <w:trPr>
          <w:trHeight w:val="302" w:hRule="atLeast"/>
        </w:trPr>
        <w:tc>
          <w:tcPr>
            <w:tcW w:w="10474" w:type="dxa"/>
            <w:gridSpan w:val="6"/>
          </w:tcPr>
          <w:p>
            <w:pPr>
              <w:pStyle w:val="TableParagraph"/>
              <w:spacing w:line="240" w:lineRule="auto" w:before="52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Фінансування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z w:val="16"/>
              </w:rPr>
              <w:t>типом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боргового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z w:val="16"/>
              </w:rPr>
              <w:t>зобов"язання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400000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Фінансування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борговими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операціями</w:t>
            </w:r>
          </w:p>
        </w:tc>
        <w:tc>
          <w:tcPr>
            <w:tcW w:w="1156" w:type="dxa"/>
          </w:tcPr>
          <w:p>
            <w:pPr>
              <w:pStyle w:val="TableParagraph"/>
              <w:ind w:right="155"/>
              <w:rPr>
                <w:sz w:val="16"/>
              </w:rPr>
            </w:pPr>
            <w:r>
              <w:rPr>
                <w:sz w:val="16"/>
              </w:rPr>
              <w:t>42.209.915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229"/>
              <w:jc w:val="right"/>
              <w:rPr>
                <w:sz w:val="16"/>
              </w:rPr>
            </w:pPr>
            <w:r>
              <w:rPr>
                <w:sz w:val="16"/>
              </w:rPr>
              <w:t>42.209.915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42.209.915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401100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Внутрішні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запозичення</w:t>
            </w:r>
          </w:p>
        </w:tc>
        <w:tc>
          <w:tcPr>
            <w:tcW w:w="1156" w:type="dxa"/>
          </w:tcPr>
          <w:p>
            <w:pPr>
              <w:pStyle w:val="TableParagraph"/>
              <w:ind w:right="155"/>
              <w:rPr>
                <w:sz w:val="16"/>
              </w:rPr>
            </w:pPr>
            <w:r>
              <w:rPr>
                <w:sz w:val="16"/>
              </w:rPr>
              <w:t>51.841.110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229"/>
              <w:jc w:val="right"/>
              <w:rPr>
                <w:sz w:val="16"/>
              </w:rPr>
            </w:pPr>
            <w:r>
              <w:rPr>
                <w:sz w:val="16"/>
              </w:rPr>
              <w:t>51.841.110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51.841.110</w:t>
            </w:r>
          </w:p>
        </w:tc>
      </w:tr>
      <w:tr>
        <w:trPr>
          <w:trHeight w:val="187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401102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Середньострокові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зобов"язання</w:t>
            </w:r>
          </w:p>
        </w:tc>
        <w:tc>
          <w:tcPr>
            <w:tcW w:w="1156" w:type="dxa"/>
          </w:tcPr>
          <w:p>
            <w:pPr>
              <w:pStyle w:val="TableParagraph"/>
              <w:ind w:right="155"/>
              <w:rPr>
                <w:sz w:val="16"/>
              </w:rPr>
            </w:pPr>
            <w:r>
              <w:rPr>
                <w:sz w:val="16"/>
              </w:rPr>
              <w:t>51.841.110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51.841.110</w:t>
            </w:r>
          </w:p>
        </w:tc>
        <w:tc>
          <w:tcPr>
            <w:tcW w:w="1248" w:type="dxa"/>
          </w:tcPr>
          <w:p>
            <w:pPr>
              <w:pStyle w:val="TableParagraph"/>
              <w:ind w:left="19" w:right="3"/>
              <w:rPr>
                <w:sz w:val="16"/>
              </w:rPr>
            </w:pPr>
            <w:r>
              <w:rPr>
                <w:sz w:val="16"/>
              </w:rPr>
              <w:t>51.841.110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401200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Зовнішні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запозичення</w:t>
            </w:r>
          </w:p>
        </w:tc>
        <w:tc>
          <w:tcPr>
            <w:tcW w:w="1156" w:type="dxa"/>
          </w:tcPr>
          <w:p>
            <w:pPr>
              <w:pStyle w:val="TableParagraph"/>
              <w:ind w:right="155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229"/>
              <w:jc w:val="right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401202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Середньострокові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зобов"язання</w:t>
            </w:r>
          </w:p>
        </w:tc>
        <w:tc>
          <w:tcPr>
            <w:tcW w:w="1156" w:type="dxa"/>
          </w:tcPr>
          <w:p>
            <w:pPr>
              <w:pStyle w:val="TableParagraph"/>
              <w:ind w:right="155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229"/>
              <w:jc w:val="right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402000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Погашення</w:t>
            </w:r>
          </w:p>
        </w:tc>
        <w:tc>
          <w:tcPr>
            <w:tcW w:w="1156" w:type="dxa"/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sz w:val="16"/>
              </w:rPr>
              <w:t>-24.511.195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200"/>
              <w:jc w:val="right"/>
              <w:rPr>
                <w:sz w:val="16"/>
              </w:rPr>
            </w:pPr>
            <w:r>
              <w:rPr>
                <w:sz w:val="16"/>
              </w:rPr>
              <w:t>-24.511.195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-24.511.195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402100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Внутрішні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запозичення</w:t>
            </w:r>
          </w:p>
        </w:tc>
        <w:tc>
          <w:tcPr>
            <w:tcW w:w="1156" w:type="dxa"/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sz w:val="16"/>
              </w:rPr>
              <w:t>-23.581.195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200"/>
              <w:jc w:val="right"/>
              <w:rPr>
                <w:sz w:val="16"/>
              </w:rPr>
            </w:pPr>
            <w:r>
              <w:rPr>
                <w:sz w:val="16"/>
              </w:rPr>
              <w:t>-23.581.195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-23.581.195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402102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Середньострокові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зобов"язання</w:t>
            </w:r>
          </w:p>
        </w:tc>
        <w:tc>
          <w:tcPr>
            <w:tcW w:w="1156" w:type="dxa"/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sz w:val="16"/>
              </w:rPr>
              <w:t>-23.581.195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200"/>
              <w:jc w:val="right"/>
              <w:rPr>
                <w:sz w:val="16"/>
              </w:rPr>
            </w:pPr>
            <w:r>
              <w:rPr>
                <w:sz w:val="16"/>
              </w:rPr>
              <w:t>-23.581.195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-23.581.195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402200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Зовнішні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запозичення</w:t>
            </w:r>
          </w:p>
        </w:tc>
        <w:tc>
          <w:tcPr>
            <w:tcW w:w="1156" w:type="dxa"/>
          </w:tcPr>
          <w:p>
            <w:pPr>
              <w:pStyle w:val="TableParagraph"/>
              <w:ind w:right="154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402202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Середньострокові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зобов"язання</w:t>
            </w:r>
          </w:p>
        </w:tc>
        <w:tc>
          <w:tcPr>
            <w:tcW w:w="1156" w:type="dxa"/>
          </w:tcPr>
          <w:p>
            <w:pPr>
              <w:pStyle w:val="TableParagraph"/>
              <w:ind w:right="154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600000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Фінансування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активними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операціями</w:t>
            </w:r>
          </w:p>
        </w:tc>
        <w:tc>
          <w:tcPr>
            <w:tcW w:w="1156" w:type="dxa"/>
          </w:tcPr>
          <w:p>
            <w:pPr>
              <w:pStyle w:val="TableParagraph"/>
              <w:ind w:right="155"/>
              <w:rPr>
                <w:sz w:val="16"/>
              </w:rPr>
            </w:pPr>
            <w:r>
              <w:rPr>
                <w:sz w:val="16"/>
              </w:rPr>
              <w:t>41.204.600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-93.462.492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186"/>
              <w:jc w:val="right"/>
              <w:rPr>
                <w:sz w:val="16"/>
              </w:rPr>
            </w:pPr>
            <w:r>
              <w:rPr>
                <w:sz w:val="16"/>
              </w:rPr>
              <w:t>134.667.092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134.547.092</w:t>
            </w:r>
          </w:p>
        </w:tc>
      </w:tr>
      <w:tr>
        <w:trPr>
          <w:trHeight w:val="187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602000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Зміни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обсягів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готівкових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коштів</w:t>
            </w:r>
          </w:p>
        </w:tc>
        <w:tc>
          <w:tcPr>
            <w:tcW w:w="1156" w:type="dxa"/>
          </w:tcPr>
          <w:p>
            <w:pPr>
              <w:pStyle w:val="TableParagraph"/>
              <w:ind w:right="155"/>
              <w:rPr>
                <w:sz w:val="16"/>
              </w:rPr>
            </w:pPr>
            <w:r>
              <w:rPr>
                <w:sz w:val="16"/>
              </w:rPr>
              <w:t>41.204.600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-93.462.492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186"/>
              <w:jc w:val="right"/>
              <w:rPr>
                <w:sz w:val="16"/>
              </w:rPr>
            </w:pPr>
            <w:r>
              <w:rPr>
                <w:sz w:val="16"/>
              </w:rPr>
              <w:t>134.667.092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134.547.092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602100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початок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періоду</w:t>
            </w:r>
          </w:p>
        </w:tc>
        <w:tc>
          <w:tcPr>
            <w:tcW w:w="1156" w:type="dxa"/>
          </w:tcPr>
          <w:p>
            <w:pPr>
              <w:pStyle w:val="TableParagraph"/>
              <w:ind w:right="155"/>
              <w:rPr>
                <w:sz w:val="16"/>
              </w:rPr>
            </w:pPr>
            <w:r>
              <w:rPr>
                <w:sz w:val="16"/>
              </w:rPr>
              <w:t>45.924.826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191"/>
              <w:jc w:val="right"/>
              <w:rPr>
                <w:sz w:val="16"/>
              </w:rPr>
            </w:pPr>
            <w:r>
              <w:rPr>
                <w:sz w:val="16"/>
              </w:rPr>
              <w:t>40.446.743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268"/>
              <w:jc w:val="right"/>
              <w:rPr>
                <w:sz w:val="16"/>
              </w:rPr>
            </w:pPr>
            <w:r>
              <w:rPr>
                <w:sz w:val="16"/>
              </w:rPr>
              <w:t>5.478.083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4.829.070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602200</w:t>
            </w:r>
          </w:p>
        </w:tc>
        <w:tc>
          <w:tcPr>
            <w:tcW w:w="4902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кінець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періоду</w:t>
            </w:r>
          </w:p>
        </w:tc>
        <w:tc>
          <w:tcPr>
            <w:tcW w:w="1156" w:type="dxa"/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sz w:val="16"/>
              </w:rPr>
              <w:t>4.720.226</w:t>
            </w:r>
          </w:p>
        </w:tc>
        <w:tc>
          <w:tcPr>
            <w:tcW w:w="1123" w:type="dxa"/>
          </w:tcPr>
          <w:p>
            <w:pPr>
              <w:pStyle w:val="TableParagraph"/>
              <w:ind w:left="222"/>
              <w:jc w:val="left"/>
              <w:rPr>
                <w:sz w:val="16"/>
              </w:rPr>
            </w:pPr>
            <w:r>
              <w:rPr>
                <w:sz w:val="16"/>
              </w:rPr>
              <w:t>4.191.143</w:t>
            </w:r>
          </w:p>
        </w:tc>
        <w:tc>
          <w:tcPr>
            <w:tcW w:w="1200" w:type="dxa"/>
          </w:tcPr>
          <w:p>
            <w:pPr>
              <w:pStyle w:val="TableParagraph"/>
              <w:ind w:left="324"/>
              <w:jc w:val="left"/>
              <w:rPr>
                <w:sz w:val="16"/>
              </w:rPr>
            </w:pPr>
            <w:r>
              <w:rPr>
                <w:sz w:val="16"/>
              </w:rPr>
              <w:t>529.083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>
        <w:trPr>
          <w:trHeight w:val="383" w:hRule="atLeast"/>
        </w:trPr>
        <w:tc>
          <w:tcPr>
            <w:tcW w:w="84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right="143"/>
              <w:rPr>
                <w:sz w:val="16"/>
              </w:rPr>
            </w:pPr>
            <w:r>
              <w:rPr>
                <w:sz w:val="16"/>
              </w:rPr>
              <w:t>602400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Кошти,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що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передаються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із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загального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фонду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бюджету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бюджету</w:t>
            </w:r>
          </w:p>
          <w:p>
            <w:pPr>
              <w:pStyle w:val="TableParagraph"/>
              <w:spacing w:line="168" w:lineRule="exact" w:before="1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розвитку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(спеціального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фонду)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left="13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-129.718.092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left="0" w:right="186"/>
              <w:jc w:val="right"/>
              <w:rPr>
                <w:sz w:val="16"/>
              </w:rPr>
            </w:pPr>
            <w:r>
              <w:rPr>
                <w:sz w:val="16"/>
              </w:rPr>
              <w:t>129.718.092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left="27" w:right="32"/>
              <w:rPr>
                <w:sz w:val="16"/>
              </w:rPr>
            </w:pPr>
            <w:r>
              <w:rPr>
                <w:sz w:val="16"/>
              </w:rPr>
              <w:t>129.718.092</w:t>
            </w:r>
          </w:p>
        </w:tc>
      </w:tr>
      <w:tr>
        <w:trPr>
          <w:trHeight w:val="278" w:hRule="atLeast"/>
        </w:trPr>
        <w:tc>
          <w:tcPr>
            <w:tcW w:w="84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34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х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5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Загальне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фінансування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5"/>
              <w:ind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83.414.515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5"/>
              <w:ind w:left="0" w:right="1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-93.462.492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5"/>
              <w:ind w:left="0" w:right="1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176.877.007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5"/>
              <w:ind w:left="24"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176.757.007</w:t>
            </w:r>
          </w:p>
        </w:tc>
      </w:tr>
    </w:tbl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9380" w:val="left" w:leader="none"/>
        </w:tabs>
        <w:spacing w:before="93"/>
        <w:ind w:left="151"/>
      </w:pPr>
      <w:r>
        <w:rPr/>
        <w:t>Начальник</w:t>
      </w:r>
      <w:r>
        <w:rPr>
          <w:spacing w:val="-7"/>
        </w:rPr>
        <w:t> </w:t>
      </w:r>
      <w:r>
        <w:rPr/>
        <w:t>фінансового</w:t>
      </w:r>
      <w:r>
        <w:rPr>
          <w:spacing w:val="-9"/>
        </w:rPr>
        <w:t> </w:t>
      </w:r>
      <w:r>
        <w:rPr/>
        <w:t>управління</w:t>
      </w:r>
      <w:r>
        <w:rPr>
          <w:spacing w:val="-7"/>
        </w:rPr>
        <w:t> </w:t>
      </w:r>
      <w:r>
        <w:rPr/>
        <w:t>Мелітопольської</w:t>
      </w:r>
      <w:r>
        <w:rPr>
          <w:spacing w:val="-5"/>
        </w:rPr>
        <w:t> </w:t>
      </w:r>
      <w:r>
        <w:rPr/>
        <w:t>міської</w:t>
      </w:r>
      <w:r>
        <w:rPr>
          <w:spacing w:val="-5"/>
        </w:rPr>
        <w:t> </w:t>
      </w:r>
      <w:r>
        <w:rPr/>
        <w:t>ради</w:t>
        <w:tab/>
        <w:t>Яна</w:t>
      </w:r>
      <w:r>
        <w:rPr>
          <w:spacing w:val="-4"/>
        </w:rPr>
        <w:t> </w:t>
      </w:r>
      <w:r>
        <w:rPr/>
        <w:t>ЧАБАН</w:t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tabs>
          <w:tab w:pos="9380" w:val="left" w:leader="none"/>
        </w:tabs>
        <w:spacing w:before="93"/>
        <w:ind w:left="151"/>
      </w:pPr>
      <w:r>
        <w:rPr/>
        <w:t>Секретар</w:t>
      </w:r>
      <w:r>
        <w:rPr>
          <w:spacing w:val="-8"/>
        </w:rPr>
        <w:t> </w:t>
      </w:r>
      <w:r>
        <w:rPr/>
        <w:t>Мелітопольської</w:t>
      </w:r>
      <w:r>
        <w:rPr>
          <w:spacing w:val="-5"/>
        </w:rPr>
        <w:t> </w:t>
      </w:r>
      <w:r>
        <w:rPr/>
        <w:t>міської</w:t>
      </w:r>
      <w:r>
        <w:rPr>
          <w:spacing w:val="-5"/>
        </w:rPr>
        <w:t> </w:t>
      </w:r>
      <w:r>
        <w:rPr/>
        <w:t>ради</w:t>
        <w:tab/>
        <w:t>Роман</w:t>
      </w:r>
      <w:r>
        <w:rPr>
          <w:spacing w:val="-3"/>
        </w:rPr>
        <w:t> </w:t>
      </w:r>
      <w:r>
        <w:rPr/>
        <w:t>РОМАНОВ</w:t>
      </w:r>
    </w:p>
    <w:sectPr>
      <w:type w:val="continuous"/>
      <w:pgSz w:w="12240" w:h="15840"/>
      <w:pgMar w:top="1020" w:bottom="280" w:left="9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5"/>
      <w:szCs w:val="15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36" w:right="29"/>
      <w:jc w:val="center"/>
      <w:outlineLvl w:val="1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167" w:lineRule="exact"/>
      <w:ind w:left="172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2021-09-15T02:05:40Z</dcterms:created>
  <dcterms:modified xsi:type="dcterms:W3CDTF">2021-09-15T02:05:40Z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